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96197" w14:textId="77777777" w:rsidR="00A32EC8" w:rsidRPr="00A32EC8" w:rsidRDefault="00A32EC8" w:rsidP="00A32EC8">
      <w:pPr>
        <w:shd w:val="clear" w:color="auto" w:fill="FFFFFF"/>
        <w:spacing w:after="600" w:line="240" w:lineRule="auto"/>
        <w:outlineLvl w:val="1"/>
        <w:rPr>
          <w:rFonts w:ascii="Times New Roman" w:eastAsia="Times New Roman" w:hAnsi="Times New Roman" w:cs="Times New Roman"/>
          <w:b/>
          <w:bCs/>
          <w:color w:val="333333"/>
          <w:kern w:val="0"/>
          <w:sz w:val="36"/>
          <w:szCs w:val="36"/>
          <w:lang w:eastAsia="sl-SI"/>
          <w14:ligatures w14:val="none"/>
        </w:rPr>
      </w:pPr>
      <w:r w:rsidRPr="00A32EC8">
        <w:rPr>
          <w:rFonts w:ascii="Times New Roman" w:eastAsia="Times New Roman" w:hAnsi="Times New Roman" w:cs="Times New Roman"/>
          <w:b/>
          <w:bCs/>
          <w:color w:val="333333"/>
          <w:kern w:val="0"/>
          <w:sz w:val="36"/>
          <w:szCs w:val="36"/>
          <w:lang w:eastAsia="sl-SI"/>
          <w14:ligatures w14:val="none"/>
        </w:rPr>
        <w:t>Sodelovanje, razvoj in prenos znanja v trajnih nasadih: Od raziskav do prakse (STRIP)</w:t>
      </w:r>
    </w:p>
    <w:p w14:paraId="482CE6CC" w14:textId="53B442FE" w:rsidR="00A32EC8" w:rsidRPr="00A32EC8" w:rsidRDefault="00A32EC8" w:rsidP="00A32EC8">
      <w:pPr>
        <w:rPr>
          <w:lang w:val="en-US"/>
        </w:rPr>
      </w:pPr>
      <w:proofErr w:type="spellStart"/>
      <w:r w:rsidRPr="00A32EC8">
        <w:rPr>
          <w:lang w:val="en-US"/>
        </w:rPr>
        <w:t>Trajanje</w:t>
      </w:r>
      <w:proofErr w:type="spellEnd"/>
      <w:r w:rsidRPr="00A32EC8">
        <w:rPr>
          <w:lang w:val="en-US"/>
        </w:rPr>
        <w:t>:</w:t>
      </w:r>
      <w:r>
        <w:rPr>
          <w:lang w:val="en-US"/>
        </w:rPr>
        <w:t xml:space="preserve"> </w:t>
      </w:r>
      <w:r w:rsidRPr="00A32EC8">
        <w:rPr>
          <w:lang w:val="en-US"/>
        </w:rPr>
        <w:t>20.06.2025 - 19.06.2029</w:t>
      </w:r>
    </w:p>
    <w:p w14:paraId="5FB49448" w14:textId="19D27893" w:rsidR="00A32EC8" w:rsidRDefault="00A32EC8" w:rsidP="00A32EC8">
      <w:pPr>
        <w:rPr>
          <w:lang w:val="en-US"/>
        </w:rPr>
      </w:pPr>
      <w:proofErr w:type="spellStart"/>
      <w:r w:rsidRPr="00A32EC8">
        <w:rPr>
          <w:lang w:val="en-US"/>
        </w:rPr>
        <w:t>Vrednost</w:t>
      </w:r>
      <w:proofErr w:type="spellEnd"/>
      <w:r w:rsidRPr="00A32EC8">
        <w:rPr>
          <w:lang w:val="en-US"/>
        </w:rPr>
        <w:t xml:space="preserve"> </w:t>
      </w:r>
      <w:proofErr w:type="spellStart"/>
      <w:r w:rsidRPr="00A32EC8">
        <w:rPr>
          <w:lang w:val="en-US"/>
        </w:rPr>
        <w:t>projekta</w:t>
      </w:r>
      <w:proofErr w:type="spellEnd"/>
      <w:r w:rsidRPr="00A32EC8">
        <w:rPr>
          <w:lang w:val="en-US"/>
        </w:rPr>
        <w:t xml:space="preserve"> </w:t>
      </w:r>
      <w:proofErr w:type="spellStart"/>
      <w:r w:rsidRPr="00A32EC8">
        <w:rPr>
          <w:lang w:val="en-US"/>
        </w:rPr>
        <w:t>skupaj</w:t>
      </w:r>
      <w:proofErr w:type="spellEnd"/>
      <w:r w:rsidRPr="00A32EC8">
        <w:rPr>
          <w:lang w:val="en-US"/>
        </w:rPr>
        <w:t>:</w:t>
      </w:r>
      <w:r>
        <w:rPr>
          <w:lang w:val="en-US"/>
        </w:rPr>
        <w:t xml:space="preserve"> </w:t>
      </w:r>
      <w:r w:rsidRPr="00A32EC8">
        <w:rPr>
          <w:lang w:val="en-US"/>
        </w:rPr>
        <w:t>2.084.320,00 €</w:t>
      </w:r>
    </w:p>
    <w:p w14:paraId="5370832C" w14:textId="77777777" w:rsidR="00A32EC8" w:rsidRDefault="00A32EC8" w:rsidP="00A32EC8">
      <w:pPr>
        <w:rPr>
          <w:lang w:val="en-US"/>
        </w:rPr>
      </w:pPr>
    </w:p>
    <w:p w14:paraId="53893F60" w14:textId="77777777" w:rsidR="00A32EC8" w:rsidRPr="00A32EC8" w:rsidRDefault="00A32EC8" w:rsidP="00A32EC8">
      <w:pPr>
        <w:spacing w:after="100" w:afterAutospacing="1"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Projekt Evropskega inovacijskega partnerstva (EIP) je financiran v okviru intervencije IRP38 Konzorciji institucij znanja v podporo prehodu kmetijstva v zeleno, digitalno in podnebno nevtralno.</w:t>
      </w:r>
    </w:p>
    <w:p w14:paraId="535119B8" w14:textId="77777777" w:rsidR="00A32EC8" w:rsidRPr="00A32EC8" w:rsidRDefault="00A32EC8" w:rsidP="00A32EC8">
      <w:pPr>
        <w:spacing w:after="100" w:afterAutospacing="1"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 </w:t>
      </w:r>
    </w:p>
    <w:p w14:paraId="69548B7F" w14:textId="77777777" w:rsidR="00A32EC8" w:rsidRPr="00A32EC8" w:rsidRDefault="00A32EC8" w:rsidP="00A32EC8">
      <w:pPr>
        <w:spacing w:after="150" w:line="240" w:lineRule="auto"/>
        <w:outlineLvl w:val="2"/>
        <w:rPr>
          <w:rFonts w:ascii="Arial" w:eastAsia="Times New Roman" w:hAnsi="Arial" w:cs="Arial"/>
          <w:i/>
          <w:iCs/>
          <w:color w:val="333333"/>
          <w:kern w:val="0"/>
          <w:sz w:val="33"/>
          <w:szCs w:val="33"/>
          <w:lang w:eastAsia="sl-SI"/>
          <w14:ligatures w14:val="none"/>
        </w:rPr>
      </w:pPr>
      <w:r w:rsidRPr="00A32EC8">
        <w:rPr>
          <w:rFonts w:ascii="Arial" w:eastAsia="Times New Roman" w:hAnsi="Arial" w:cs="Arial"/>
          <w:i/>
          <w:iCs/>
          <w:color w:val="333333"/>
          <w:kern w:val="0"/>
          <w:sz w:val="33"/>
          <w:szCs w:val="33"/>
          <w:lang w:eastAsia="sl-SI"/>
          <w14:ligatures w14:val="none"/>
        </w:rPr>
        <w:t>Partnerji:</w:t>
      </w:r>
    </w:p>
    <w:p w14:paraId="6B78774D"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Univerza v Ljubljani, Biotehniška fakulteta (vodilni partner) (UL BF)</w:t>
      </w:r>
    </w:p>
    <w:p w14:paraId="0785C1F5"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Kmetijski inštitut Slovenije (KIS)</w:t>
      </w:r>
    </w:p>
    <w:p w14:paraId="316E8695"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 xml:space="preserve">Univerza v Mariboru, Fakulteta za kmetijstvo in </w:t>
      </w:r>
      <w:proofErr w:type="spellStart"/>
      <w:r w:rsidRPr="00A32EC8">
        <w:rPr>
          <w:rFonts w:ascii="Arial" w:eastAsia="Times New Roman" w:hAnsi="Arial" w:cs="Arial"/>
          <w:color w:val="333333"/>
          <w:kern w:val="0"/>
          <w:lang w:eastAsia="sl-SI"/>
          <w14:ligatures w14:val="none"/>
        </w:rPr>
        <w:t>biosistemske</w:t>
      </w:r>
      <w:proofErr w:type="spellEnd"/>
      <w:r w:rsidRPr="00A32EC8">
        <w:rPr>
          <w:rFonts w:ascii="Arial" w:eastAsia="Times New Roman" w:hAnsi="Arial" w:cs="Arial"/>
          <w:color w:val="333333"/>
          <w:kern w:val="0"/>
          <w:lang w:eastAsia="sl-SI"/>
          <w14:ligatures w14:val="none"/>
        </w:rPr>
        <w:t xml:space="preserve"> vede (UM FKBV)</w:t>
      </w:r>
    </w:p>
    <w:p w14:paraId="782DCCE7"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Kmetijsko gozdarska zbornica Slovenije (KGZS)</w:t>
      </w:r>
    </w:p>
    <w:p w14:paraId="101AC4C3"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Kmetijsko gozdarska zbornica Slovenije - Kmetijsko gozdarski zavod Maribor        (KGZ MB)</w:t>
      </w:r>
    </w:p>
    <w:p w14:paraId="6DFB36A4"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Kmetijsko gozdarska zbornica Slovenije – Kmetijsko gozdarski zavod Nova Gorica (KGZ GO)</w:t>
      </w:r>
    </w:p>
    <w:p w14:paraId="596C2E8F"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Kmetijsko gozdarska zbornica Slovenije – Kmetijsko gozdarski zavod Novo mesto (KGZ NM)</w:t>
      </w:r>
    </w:p>
    <w:p w14:paraId="2642FCE4"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Biotehniški izobraževalni center Ljubljana (BIC)</w:t>
      </w:r>
    </w:p>
    <w:p w14:paraId="72EC819B"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Grm Novo mesto - center biotehnike in turizma, Višja strokovna šola (VSŠ Grm NM)</w:t>
      </w:r>
    </w:p>
    <w:p w14:paraId="7634FBC9"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Biotehniška šola Maribor (BTŠ MB)</w:t>
      </w:r>
    </w:p>
    <w:p w14:paraId="69AC3E2F"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Šolski center Nova Gorica (ŠC NG)</w:t>
      </w:r>
    </w:p>
    <w:p w14:paraId="0FDA8E22"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Jaka Aškerc</w:t>
      </w:r>
    </w:p>
    <w:p w14:paraId="4E8B67E5"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Aleš Jerala</w:t>
      </w:r>
    </w:p>
    <w:p w14:paraId="551DA936"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Leopold Weber</w:t>
      </w:r>
    </w:p>
    <w:p w14:paraId="6DF16178"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Andraž Rumpret</w:t>
      </w:r>
    </w:p>
    <w:p w14:paraId="6035252A"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Branko Juhart</w:t>
      </w:r>
    </w:p>
    <w:p w14:paraId="71DF9DBD"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Klemen Benedetič</w:t>
      </w:r>
    </w:p>
    <w:p w14:paraId="2AB34190"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Žan Bric</w:t>
      </w:r>
    </w:p>
    <w:p w14:paraId="39E70C5A" w14:textId="77777777" w:rsidR="00A32EC8" w:rsidRPr="00A32EC8" w:rsidRDefault="00A32EC8" w:rsidP="00A32EC8">
      <w:pPr>
        <w:numPr>
          <w:ilvl w:val="0"/>
          <w:numId w:val="1"/>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Vinko Medved</w:t>
      </w:r>
    </w:p>
    <w:p w14:paraId="6FD1A6C5" w14:textId="77777777" w:rsidR="00A32EC8" w:rsidRPr="00A32EC8" w:rsidRDefault="00A32EC8" w:rsidP="00A32EC8">
      <w:pPr>
        <w:spacing w:after="100" w:afterAutospacing="1"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 </w:t>
      </w:r>
    </w:p>
    <w:p w14:paraId="58F7B7BF" w14:textId="77777777" w:rsidR="00A32EC8" w:rsidRPr="00A32EC8" w:rsidRDefault="00A32EC8" w:rsidP="00A32EC8">
      <w:pPr>
        <w:spacing w:after="150" w:line="240" w:lineRule="auto"/>
        <w:outlineLvl w:val="2"/>
        <w:rPr>
          <w:rFonts w:ascii="Arial" w:eastAsia="Times New Roman" w:hAnsi="Arial" w:cs="Arial"/>
          <w:i/>
          <w:iCs/>
          <w:color w:val="333333"/>
          <w:kern w:val="0"/>
          <w:sz w:val="33"/>
          <w:szCs w:val="33"/>
          <w:lang w:eastAsia="sl-SI"/>
          <w14:ligatures w14:val="none"/>
        </w:rPr>
      </w:pPr>
      <w:r w:rsidRPr="00A32EC8">
        <w:rPr>
          <w:rFonts w:ascii="Arial" w:eastAsia="Times New Roman" w:hAnsi="Arial" w:cs="Arial"/>
          <w:i/>
          <w:iCs/>
          <w:color w:val="333333"/>
          <w:kern w:val="0"/>
          <w:sz w:val="33"/>
          <w:szCs w:val="33"/>
          <w:lang w:eastAsia="sl-SI"/>
          <w14:ligatures w14:val="none"/>
        </w:rPr>
        <w:t>Kratek opis</w:t>
      </w:r>
    </w:p>
    <w:p w14:paraId="3250EEAF" w14:textId="77777777" w:rsidR="00A32EC8" w:rsidRPr="00A32EC8" w:rsidRDefault="00A32EC8" w:rsidP="00A32EC8">
      <w:pPr>
        <w:spacing w:after="100" w:afterAutospacing="1" w:line="240" w:lineRule="auto"/>
        <w:jc w:val="both"/>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 xml:space="preserve">Program naslavlja ključne izzive kmetijstva, kot so prilagoditev na podnebne spremembe, digitalizacija in povečanje trajnosti. Poudarek je na povezovanju institucij znanja, nadgradnji infrastrukture ter prenosu znanja kmetom, kar omogoča boljšo odpornost in trajnost kmetijske pridelave. Program s sodelovanjem izboljšuje inovacije </w:t>
      </w:r>
      <w:r w:rsidRPr="00A32EC8">
        <w:rPr>
          <w:rFonts w:ascii="Arial" w:eastAsia="Times New Roman" w:hAnsi="Arial" w:cs="Arial"/>
          <w:color w:val="333333"/>
          <w:kern w:val="0"/>
          <w:lang w:eastAsia="sl-SI"/>
          <w14:ligatures w14:val="none"/>
        </w:rPr>
        <w:lastRenderedPageBreak/>
        <w:t>in implementacijo novih tehnologij v praksi. Program konzorcija spodbuja razvoj in prenos inovacij v kmetijstvu prek vodenja, razvoja novih znanj, vzpostavitve podatkovnih baz, testiranja rešitev, praktičnih prikazov ter razširjanja rezultatov. Poudarek je na prilagoditvi podnebnim spremembam, varstvu rastlin, tehnologiji in razvoju tolerantnih sort. Vključuje sodelovanje z deležniki, podporo inovacijam in trajnostno upravljanje naravnih virov v sistemu AKIS.</w:t>
      </w:r>
    </w:p>
    <w:p w14:paraId="65E1704F" w14:textId="77777777" w:rsidR="00A32EC8" w:rsidRPr="00A32EC8" w:rsidRDefault="00A32EC8" w:rsidP="00A32EC8">
      <w:pPr>
        <w:spacing w:after="150" w:line="240" w:lineRule="auto"/>
        <w:outlineLvl w:val="2"/>
        <w:rPr>
          <w:rFonts w:ascii="Arial" w:eastAsia="Times New Roman" w:hAnsi="Arial" w:cs="Arial"/>
          <w:i/>
          <w:iCs/>
          <w:color w:val="333333"/>
          <w:kern w:val="0"/>
          <w:sz w:val="33"/>
          <w:szCs w:val="33"/>
          <w:lang w:eastAsia="sl-SI"/>
          <w14:ligatures w14:val="none"/>
        </w:rPr>
      </w:pPr>
      <w:r w:rsidRPr="00A32EC8">
        <w:rPr>
          <w:rFonts w:ascii="Arial" w:eastAsia="Times New Roman" w:hAnsi="Arial" w:cs="Arial"/>
          <w:i/>
          <w:iCs/>
          <w:color w:val="333333"/>
          <w:kern w:val="0"/>
          <w:sz w:val="33"/>
          <w:szCs w:val="33"/>
          <w:lang w:eastAsia="sl-SI"/>
          <w14:ligatures w14:val="none"/>
        </w:rPr>
        <w:t> </w:t>
      </w:r>
    </w:p>
    <w:p w14:paraId="149E8482" w14:textId="77777777" w:rsidR="00A32EC8" w:rsidRPr="00A32EC8" w:rsidRDefault="00A32EC8" w:rsidP="00A32EC8">
      <w:pPr>
        <w:spacing w:after="150" w:line="240" w:lineRule="auto"/>
        <w:outlineLvl w:val="2"/>
        <w:rPr>
          <w:rFonts w:ascii="Arial" w:eastAsia="Times New Roman" w:hAnsi="Arial" w:cs="Arial"/>
          <w:i/>
          <w:iCs/>
          <w:color w:val="333333"/>
          <w:kern w:val="0"/>
          <w:sz w:val="33"/>
          <w:szCs w:val="33"/>
          <w:lang w:eastAsia="sl-SI"/>
          <w14:ligatures w14:val="none"/>
        </w:rPr>
      </w:pPr>
      <w:r w:rsidRPr="00A32EC8">
        <w:rPr>
          <w:rFonts w:ascii="Arial" w:eastAsia="Times New Roman" w:hAnsi="Arial" w:cs="Arial"/>
          <w:i/>
          <w:iCs/>
          <w:color w:val="333333"/>
          <w:kern w:val="0"/>
          <w:sz w:val="33"/>
          <w:szCs w:val="33"/>
          <w:lang w:eastAsia="sl-SI"/>
          <w14:ligatures w14:val="none"/>
        </w:rPr>
        <w:t>Cilji in rezultati</w:t>
      </w:r>
      <w:r w:rsidRPr="00A32EC8">
        <w:rPr>
          <w:rFonts w:ascii="Arial" w:eastAsia="Times New Roman" w:hAnsi="Arial" w:cs="Arial"/>
          <w:i/>
          <w:iCs/>
          <w:color w:val="333333"/>
          <w:kern w:val="0"/>
          <w:sz w:val="33"/>
          <w:szCs w:val="33"/>
          <w:lang w:eastAsia="sl-SI"/>
          <w14:ligatures w14:val="none"/>
        </w:rPr>
        <w:br/>
        <w:t> </w:t>
      </w:r>
    </w:p>
    <w:p w14:paraId="204E21BB" w14:textId="77777777" w:rsidR="00A32EC8" w:rsidRPr="00A32EC8" w:rsidRDefault="00A32EC8" w:rsidP="00A32EC8">
      <w:pPr>
        <w:numPr>
          <w:ilvl w:val="0"/>
          <w:numId w:val="2"/>
        </w:numPr>
        <w:spacing w:before="100" w:beforeAutospacing="1" w:after="0" w:line="240" w:lineRule="auto"/>
        <w:rPr>
          <w:rFonts w:ascii="Arial" w:eastAsia="Times New Roman" w:hAnsi="Arial" w:cs="Arial"/>
          <w:color w:val="333333"/>
          <w:kern w:val="0"/>
          <w:lang w:eastAsia="sl-SI"/>
          <w14:ligatures w14:val="none"/>
        </w:rPr>
      </w:pPr>
      <w:r w:rsidRPr="00A32EC8">
        <w:rPr>
          <w:rFonts w:ascii="Arial" w:eastAsia="Times New Roman" w:hAnsi="Arial" w:cs="Arial"/>
          <w:i/>
          <w:iCs/>
          <w:color w:val="333333"/>
          <w:kern w:val="0"/>
          <w:lang w:eastAsia="sl-SI"/>
          <w14:ligatures w14:val="none"/>
        </w:rPr>
        <w:t>Glavni cilji konzorcija STRIP:</w:t>
      </w:r>
    </w:p>
    <w:tbl>
      <w:tblPr>
        <w:tblpPr w:leftFromText="45" w:rightFromText="45" w:vertAnchor="text"/>
        <w:tblW w:w="10017" w:type="dxa"/>
        <w:tblCellMar>
          <w:left w:w="0" w:type="dxa"/>
          <w:right w:w="0" w:type="dxa"/>
        </w:tblCellMar>
        <w:tblLook w:val="04A0" w:firstRow="1" w:lastRow="0" w:firstColumn="1" w:lastColumn="0" w:noHBand="0" w:noVBand="1"/>
      </w:tblPr>
      <w:tblGrid>
        <w:gridCol w:w="10017"/>
      </w:tblGrid>
      <w:tr w:rsidR="00A32EC8" w:rsidRPr="00A32EC8" w14:paraId="31854FA0" w14:textId="77777777" w:rsidTr="00A32EC8">
        <w:trPr>
          <w:trHeight w:val="777"/>
        </w:trPr>
        <w:tc>
          <w:tcPr>
            <w:tcW w:w="0" w:type="auto"/>
            <w:tcBorders>
              <w:top w:val="single" w:sz="6" w:space="0" w:color="DEDEDE"/>
              <w:left w:val="nil"/>
              <w:bottom w:val="nil"/>
              <w:right w:val="nil"/>
            </w:tcBorders>
            <w:shd w:val="clear" w:color="auto" w:fill="FFFFFF"/>
            <w:tcMar>
              <w:top w:w="150" w:type="dxa"/>
              <w:left w:w="150" w:type="dxa"/>
              <w:bottom w:w="150" w:type="dxa"/>
              <w:right w:w="150" w:type="dxa"/>
            </w:tcMar>
            <w:hideMark/>
          </w:tcPr>
          <w:p w14:paraId="7070C6BE" w14:textId="77777777"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Cilj 1: Vzpostaviti sodelovanje med glavnimi institucijami znanja na področju trajnih nasadov v Sloveniji, s poudarkom na sadjarstvu</w:t>
            </w:r>
          </w:p>
        </w:tc>
      </w:tr>
      <w:tr w:rsidR="00A32EC8" w:rsidRPr="00A32EC8" w14:paraId="2A6A1FDB" w14:textId="77777777" w:rsidTr="00A32EC8">
        <w:trPr>
          <w:trHeight w:val="388"/>
        </w:trPr>
        <w:tc>
          <w:tcPr>
            <w:tcW w:w="0" w:type="auto"/>
            <w:tcBorders>
              <w:top w:val="single" w:sz="6" w:space="0" w:color="DEDEDE"/>
              <w:left w:val="nil"/>
              <w:bottom w:val="nil"/>
              <w:right w:val="nil"/>
            </w:tcBorders>
            <w:shd w:val="clear" w:color="auto" w:fill="FFFFFF"/>
            <w:tcMar>
              <w:top w:w="150" w:type="dxa"/>
              <w:left w:w="150" w:type="dxa"/>
              <w:bottom w:w="150" w:type="dxa"/>
              <w:right w:w="150" w:type="dxa"/>
            </w:tcMar>
            <w:hideMark/>
          </w:tcPr>
          <w:p w14:paraId="624C767A" w14:textId="77777777"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 xml:space="preserve">Cilj 2: Pridelava jablan, </w:t>
            </w:r>
            <w:proofErr w:type="spellStart"/>
            <w:r w:rsidRPr="00A32EC8">
              <w:rPr>
                <w:rFonts w:ascii="Times New Roman" w:eastAsia="Times New Roman" w:hAnsi="Times New Roman" w:cs="Times New Roman"/>
                <w:color w:val="333333"/>
                <w:kern w:val="0"/>
                <w:lang w:eastAsia="sl-SI"/>
                <w14:ligatures w14:val="none"/>
              </w:rPr>
              <w:t>koščičarjev</w:t>
            </w:r>
            <w:proofErr w:type="spellEnd"/>
            <w:r w:rsidRPr="00A32EC8">
              <w:rPr>
                <w:rFonts w:ascii="Times New Roman" w:eastAsia="Times New Roman" w:hAnsi="Times New Roman" w:cs="Times New Roman"/>
                <w:color w:val="333333"/>
                <w:kern w:val="0"/>
                <w:lang w:eastAsia="sl-SI"/>
                <w14:ligatures w14:val="none"/>
              </w:rPr>
              <w:t xml:space="preserve"> in jagodičja v zavarovanih prostorih</w:t>
            </w:r>
          </w:p>
        </w:tc>
      </w:tr>
      <w:tr w:rsidR="00A32EC8" w:rsidRPr="00A32EC8" w14:paraId="071CE9D2" w14:textId="77777777" w:rsidTr="00A32EC8">
        <w:trPr>
          <w:trHeight w:val="388"/>
        </w:trPr>
        <w:tc>
          <w:tcPr>
            <w:tcW w:w="0" w:type="auto"/>
            <w:tcBorders>
              <w:top w:val="single" w:sz="6" w:space="0" w:color="DEDEDE"/>
              <w:left w:val="nil"/>
              <w:bottom w:val="nil"/>
              <w:right w:val="nil"/>
            </w:tcBorders>
            <w:shd w:val="clear" w:color="auto" w:fill="FFFFFF"/>
            <w:tcMar>
              <w:top w:w="150" w:type="dxa"/>
              <w:left w:w="150" w:type="dxa"/>
              <w:bottom w:w="150" w:type="dxa"/>
              <w:right w:w="150" w:type="dxa"/>
            </w:tcMar>
            <w:hideMark/>
          </w:tcPr>
          <w:p w14:paraId="4454DFDD" w14:textId="77777777"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Cilj 3: Nadgradnja opreme za natančno spremljanje fiziološkega in biokemičnega stanja rastlin</w:t>
            </w:r>
          </w:p>
        </w:tc>
      </w:tr>
      <w:tr w:rsidR="00A32EC8" w:rsidRPr="00A32EC8" w14:paraId="4C52CC41" w14:textId="77777777" w:rsidTr="00A32EC8">
        <w:trPr>
          <w:trHeight w:val="388"/>
        </w:trPr>
        <w:tc>
          <w:tcPr>
            <w:tcW w:w="0" w:type="auto"/>
            <w:tcBorders>
              <w:top w:val="single" w:sz="6" w:space="0" w:color="DEDEDE"/>
              <w:left w:val="nil"/>
              <w:bottom w:val="nil"/>
              <w:right w:val="nil"/>
            </w:tcBorders>
            <w:shd w:val="clear" w:color="auto" w:fill="FFFFFF"/>
            <w:tcMar>
              <w:top w:w="150" w:type="dxa"/>
              <w:left w:w="150" w:type="dxa"/>
              <w:bottom w:w="150" w:type="dxa"/>
              <w:right w:w="150" w:type="dxa"/>
            </w:tcMar>
            <w:hideMark/>
          </w:tcPr>
          <w:p w14:paraId="7B42CA2B" w14:textId="77777777"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 xml:space="preserve">Cilj 4: Nadgradnja mehanizacije za </w:t>
            </w:r>
            <w:proofErr w:type="spellStart"/>
            <w:r w:rsidRPr="00A32EC8">
              <w:rPr>
                <w:rFonts w:ascii="Times New Roman" w:eastAsia="Times New Roman" w:hAnsi="Times New Roman" w:cs="Times New Roman"/>
                <w:color w:val="333333"/>
                <w:kern w:val="0"/>
                <w:lang w:eastAsia="sl-SI"/>
                <w14:ligatures w14:val="none"/>
              </w:rPr>
              <w:t>visokostorilnostno</w:t>
            </w:r>
            <w:proofErr w:type="spellEnd"/>
            <w:r w:rsidRPr="00A32EC8">
              <w:rPr>
                <w:rFonts w:ascii="Times New Roman" w:eastAsia="Times New Roman" w:hAnsi="Times New Roman" w:cs="Times New Roman"/>
                <w:color w:val="333333"/>
                <w:kern w:val="0"/>
                <w:lang w:eastAsia="sl-SI"/>
                <w14:ligatures w14:val="none"/>
              </w:rPr>
              <w:t xml:space="preserve"> pridelavo</w:t>
            </w:r>
          </w:p>
        </w:tc>
      </w:tr>
      <w:tr w:rsidR="00A32EC8" w:rsidRPr="00A32EC8" w14:paraId="10EA9D54" w14:textId="77777777" w:rsidTr="00A32EC8">
        <w:trPr>
          <w:trHeight w:val="388"/>
        </w:trPr>
        <w:tc>
          <w:tcPr>
            <w:tcW w:w="0" w:type="auto"/>
            <w:tcBorders>
              <w:top w:val="single" w:sz="6" w:space="0" w:color="DEDEDE"/>
              <w:left w:val="nil"/>
              <w:bottom w:val="nil"/>
              <w:right w:val="nil"/>
            </w:tcBorders>
            <w:shd w:val="clear" w:color="auto" w:fill="FFFFFF"/>
            <w:tcMar>
              <w:top w:w="150" w:type="dxa"/>
              <w:left w:w="150" w:type="dxa"/>
              <w:bottom w:w="150" w:type="dxa"/>
              <w:right w:w="150" w:type="dxa"/>
            </w:tcMar>
            <w:hideMark/>
          </w:tcPr>
          <w:p w14:paraId="1F72C48A" w14:textId="77777777"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Cilj 5: prilagoditev na klimatske spremembe</w:t>
            </w:r>
          </w:p>
        </w:tc>
      </w:tr>
      <w:tr w:rsidR="00A32EC8" w:rsidRPr="00A32EC8" w14:paraId="5830CB18" w14:textId="77777777" w:rsidTr="00A32EC8">
        <w:trPr>
          <w:trHeight w:val="388"/>
        </w:trPr>
        <w:tc>
          <w:tcPr>
            <w:tcW w:w="0" w:type="auto"/>
            <w:tcBorders>
              <w:top w:val="single" w:sz="6" w:space="0" w:color="DEDEDE"/>
              <w:left w:val="nil"/>
              <w:bottom w:val="nil"/>
              <w:right w:val="nil"/>
            </w:tcBorders>
            <w:shd w:val="clear" w:color="auto" w:fill="FFFFFF"/>
            <w:tcMar>
              <w:top w:w="150" w:type="dxa"/>
              <w:left w:w="150" w:type="dxa"/>
              <w:bottom w:w="150" w:type="dxa"/>
              <w:right w:w="150" w:type="dxa"/>
            </w:tcMar>
            <w:hideMark/>
          </w:tcPr>
          <w:p w14:paraId="13A26607" w14:textId="77777777"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Cilj 6: digitalizacija v trajnih nasadih</w:t>
            </w:r>
          </w:p>
        </w:tc>
      </w:tr>
      <w:tr w:rsidR="00A32EC8" w:rsidRPr="00A32EC8" w14:paraId="1E40DE11" w14:textId="77777777" w:rsidTr="00A32EC8">
        <w:trPr>
          <w:trHeight w:val="388"/>
        </w:trPr>
        <w:tc>
          <w:tcPr>
            <w:tcW w:w="0" w:type="auto"/>
            <w:tcBorders>
              <w:top w:val="single" w:sz="6" w:space="0" w:color="DEDEDE"/>
              <w:left w:val="nil"/>
              <w:bottom w:val="nil"/>
              <w:right w:val="nil"/>
            </w:tcBorders>
            <w:shd w:val="clear" w:color="auto" w:fill="FFFFFF"/>
            <w:tcMar>
              <w:top w:w="150" w:type="dxa"/>
              <w:left w:w="150" w:type="dxa"/>
              <w:bottom w:w="150" w:type="dxa"/>
              <w:right w:w="150" w:type="dxa"/>
            </w:tcMar>
            <w:hideMark/>
          </w:tcPr>
          <w:p w14:paraId="62EC4C88" w14:textId="77777777"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Cilj 7: trajnostna in podnebno nevtralna pridelava</w:t>
            </w:r>
          </w:p>
        </w:tc>
      </w:tr>
      <w:tr w:rsidR="00A32EC8" w:rsidRPr="00A32EC8" w14:paraId="7BAFB463" w14:textId="77777777" w:rsidTr="00A32EC8">
        <w:trPr>
          <w:trHeight w:val="388"/>
        </w:trPr>
        <w:tc>
          <w:tcPr>
            <w:tcW w:w="0" w:type="auto"/>
            <w:tcBorders>
              <w:top w:val="single" w:sz="6" w:space="0" w:color="DEDEDE"/>
              <w:left w:val="nil"/>
              <w:bottom w:val="nil"/>
              <w:right w:val="nil"/>
            </w:tcBorders>
            <w:shd w:val="clear" w:color="auto" w:fill="FFFFFF"/>
            <w:tcMar>
              <w:top w:w="150" w:type="dxa"/>
              <w:left w:w="150" w:type="dxa"/>
              <w:bottom w:w="150" w:type="dxa"/>
              <w:right w:w="150" w:type="dxa"/>
            </w:tcMar>
            <w:hideMark/>
          </w:tcPr>
          <w:p w14:paraId="3993F1CA" w14:textId="77777777"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Cilj 8: prenos znanja nosilcem in izvajalcem javnih služb</w:t>
            </w:r>
          </w:p>
        </w:tc>
      </w:tr>
      <w:tr w:rsidR="00A32EC8" w:rsidRPr="00A32EC8" w14:paraId="346AF0C9" w14:textId="77777777" w:rsidTr="00A32EC8">
        <w:trPr>
          <w:trHeight w:val="388"/>
        </w:trPr>
        <w:tc>
          <w:tcPr>
            <w:tcW w:w="0" w:type="auto"/>
            <w:tcBorders>
              <w:top w:val="single" w:sz="6" w:space="0" w:color="DEDEDE"/>
              <w:left w:val="nil"/>
              <w:bottom w:val="nil"/>
              <w:right w:val="nil"/>
            </w:tcBorders>
            <w:shd w:val="clear" w:color="auto" w:fill="FFFFFF"/>
            <w:tcMar>
              <w:top w:w="150" w:type="dxa"/>
              <w:left w:w="150" w:type="dxa"/>
              <w:bottom w:w="150" w:type="dxa"/>
              <w:right w:w="150" w:type="dxa"/>
            </w:tcMar>
            <w:hideMark/>
          </w:tcPr>
          <w:p w14:paraId="1EA82A49" w14:textId="77777777"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Cilj 9: prenos znanja dijakom in študentom</w:t>
            </w:r>
          </w:p>
        </w:tc>
      </w:tr>
      <w:tr w:rsidR="00A32EC8" w:rsidRPr="00A32EC8" w14:paraId="056CF559" w14:textId="77777777" w:rsidTr="00A32EC8">
        <w:trPr>
          <w:trHeight w:val="388"/>
        </w:trPr>
        <w:tc>
          <w:tcPr>
            <w:tcW w:w="0" w:type="auto"/>
            <w:tcBorders>
              <w:top w:val="single" w:sz="6" w:space="0" w:color="DEDEDE"/>
              <w:left w:val="nil"/>
              <w:bottom w:val="nil"/>
              <w:right w:val="nil"/>
            </w:tcBorders>
            <w:shd w:val="clear" w:color="auto" w:fill="FFFFFF"/>
            <w:tcMar>
              <w:top w:w="150" w:type="dxa"/>
              <w:left w:w="150" w:type="dxa"/>
              <w:bottom w:w="150" w:type="dxa"/>
              <w:right w:w="150" w:type="dxa"/>
            </w:tcMar>
            <w:hideMark/>
          </w:tcPr>
          <w:p w14:paraId="05A426B1" w14:textId="77777777"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Cilj 10: prenos znanja kmetijskim gospodarstvom</w:t>
            </w:r>
          </w:p>
        </w:tc>
      </w:tr>
      <w:tr w:rsidR="00A32EC8" w:rsidRPr="00A32EC8" w14:paraId="4FFCD204" w14:textId="77777777" w:rsidTr="00A32EC8">
        <w:trPr>
          <w:trHeight w:val="388"/>
        </w:trPr>
        <w:tc>
          <w:tcPr>
            <w:tcW w:w="0" w:type="auto"/>
            <w:tcBorders>
              <w:top w:val="single" w:sz="6" w:space="0" w:color="DEDEDE"/>
              <w:left w:val="nil"/>
              <w:bottom w:val="nil"/>
              <w:right w:val="nil"/>
            </w:tcBorders>
            <w:shd w:val="clear" w:color="auto" w:fill="FFFFFF"/>
            <w:tcMar>
              <w:top w:w="150" w:type="dxa"/>
              <w:left w:w="150" w:type="dxa"/>
              <w:bottom w:w="150" w:type="dxa"/>
              <w:right w:w="150" w:type="dxa"/>
            </w:tcMar>
            <w:hideMark/>
          </w:tcPr>
          <w:p w14:paraId="400D0EC7" w14:textId="77777777"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Cilj 11: predstavitev pridelave v trajnih nasadih širši javnosti</w:t>
            </w:r>
          </w:p>
        </w:tc>
      </w:tr>
      <w:tr w:rsidR="00A32EC8" w:rsidRPr="00A32EC8" w14:paraId="12B80EA6" w14:textId="77777777" w:rsidTr="00A32EC8">
        <w:trPr>
          <w:trHeight w:val="388"/>
        </w:trPr>
        <w:tc>
          <w:tcPr>
            <w:tcW w:w="0" w:type="auto"/>
            <w:tcBorders>
              <w:top w:val="single" w:sz="6" w:space="0" w:color="DEDEDE"/>
              <w:left w:val="nil"/>
              <w:bottom w:val="nil"/>
              <w:right w:val="nil"/>
            </w:tcBorders>
            <w:shd w:val="clear" w:color="auto" w:fill="FFFFFF"/>
            <w:tcMar>
              <w:top w:w="150" w:type="dxa"/>
              <w:left w:w="150" w:type="dxa"/>
              <w:bottom w:w="150" w:type="dxa"/>
              <w:right w:w="150" w:type="dxa"/>
            </w:tcMar>
            <w:hideMark/>
          </w:tcPr>
          <w:p w14:paraId="223CD4AF" w14:textId="395A75A6"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Cilj 12: oblikovanje ukrepa kmetijske politike</w:t>
            </w:r>
          </w:p>
        </w:tc>
      </w:tr>
    </w:tbl>
    <w:p w14:paraId="3A16BE50" w14:textId="77777777" w:rsidR="00A32EC8" w:rsidRDefault="00A32EC8" w:rsidP="00A32EC8">
      <w:pPr>
        <w:spacing w:after="100" w:afterAutospacing="1"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 </w:t>
      </w:r>
    </w:p>
    <w:p w14:paraId="2E8D17CF" w14:textId="77777777" w:rsidR="00A32EC8" w:rsidRDefault="00A32EC8" w:rsidP="00A32EC8">
      <w:pPr>
        <w:spacing w:after="100" w:afterAutospacing="1" w:line="240" w:lineRule="auto"/>
        <w:rPr>
          <w:rFonts w:ascii="Arial" w:eastAsia="Times New Roman" w:hAnsi="Arial" w:cs="Arial"/>
          <w:color w:val="333333"/>
          <w:kern w:val="0"/>
          <w:lang w:eastAsia="sl-SI"/>
          <w14:ligatures w14:val="none"/>
        </w:rPr>
      </w:pPr>
    </w:p>
    <w:p w14:paraId="5D8F7B28" w14:textId="77777777" w:rsidR="00A32EC8" w:rsidRDefault="00A32EC8" w:rsidP="00A32EC8">
      <w:pPr>
        <w:spacing w:after="100" w:afterAutospacing="1" w:line="240" w:lineRule="auto"/>
        <w:rPr>
          <w:rFonts w:ascii="Arial" w:eastAsia="Times New Roman" w:hAnsi="Arial" w:cs="Arial"/>
          <w:color w:val="333333"/>
          <w:kern w:val="0"/>
          <w:lang w:eastAsia="sl-SI"/>
          <w14:ligatures w14:val="none"/>
        </w:rPr>
      </w:pPr>
    </w:p>
    <w:p w14:paraId="095B43A4" w14:textId="758019F4" w:rsidR="00A32EC8" w:rsidRPr="00A32EC8" w:rsidRDefault="00A32EC8" w:rsidP="00A32EC8">
      <w:pPr>
        <w:spacing w:after="100" w:afterAutospacing="1" w:line="240" w:lineRule="auto"/>
        <w:rPr>
          <w:rFonts w:ascii="Arial" w:eastAsia="Times New Roman" w:hAnsi="Arial" w:cs="Arial"/>
          <w:color w:val="333333"/>
          <w:kern w:val="0"/>
          <w:lang w:eastAsia="sl-SI"/>
          <w14:ligatures w14:val="none"/>
        </w:rPr>
      </w:pPr>
      <w:r>
        <w:rPr>
          <w:rFonts w:ascii="Arial" w:eastAsia="Times New Roman" w:hAnsi="Arial" w:cs="Arial"/>
          <w:color w:val="333333"/>
          <w:kern w:val="0"/>
          <w:lang w:eastAsia="sl-SI"/>
          <w14:ligatures w14:val="none"/>
        </w:rPr>
        <w:lastRenderedPageBreak/>
        <w:t>Pričakovani ključni rezultati:</w:t>
      </w:r>
    </w:p>
    <w:tbl>
      <w:tblPr>
        <w:tblW w:w="9205" w:type="dxa"/>
        <w:tblCellMar>
          <w:left w:w="0" w:type="dxa"/>
          <w:right w:w="0" w:type="dxa"/>
        </w:tblCellMar>
        <w:tblLook w:val="04A0" w:firstRow="1" w:lastRow="0" w:firstColumn="1" w:lastColumn="0" w:noHBand="0" w:noVBand="1"/>
      </w:tblPr>
      <w:tblGrid>
        <w:gridCol w:w="1560"/>
        <w:gridCol w:w="7645"/>
      </w:tblGrid>
      <w:tr w:rsidR="00A32EC8" w:rsidRPr="00A32EC8" w14:paraId="04C8A411" w14:textId="77777777" w:rsidTr="00A32EC8">
        <w:trPr>
          <w:trHeight w:val="2969"/>
        </w:trPr>
        <w:tc>
          <w:tcPr>
            <w:tcW w:w="1560" w:type="dxa"/>
            <w:tcBorders>
              <w:top w:val="single" w:sz="6" w:space="0" w:color="DEDEDE"/>
              <w:left w:val="nil"/>
              <w:bottom w:val="nil"/>
              <w:right w:val="nil"/>
            </w:tcBorders>
            <w:shd w:val="clear" w:color="auto" w:fill="FFFFFF"/>
            <w:tcMar>
              <w:top w:w="150" w:type="dxa"/>
              <w:left w:w="150" w:type="dxa"/>
              <w:bottom w:w="150" w:type="dxa"/>
              <w:right w:w="150" w:type="dxa"/>
            </w:tcMar>
            <w:hideMark/>
          </w:tcPr>
          <w:p w14:paraId="158FCBE5" w14:textId="3993B761"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Rezultat</w:t>
            </w:r>
            <w:r>
              <w:rPr>
                <w:rFonts w:ascii="Times New Roman" w:eastAsia="Times New Roman" w:hAnsi="Times New Roman" w:cs="Times New Roman"/>
                <w:color w:val="333333"/>
                <w:kern w:val="0"/>
                <w:lang w:eastAsia="sl-SI"/>
                <w14:ligatures w14:val="none"/>
              </w:rPr>
              <w:t xml:space="preserve"> </w:t>
            </w:r>
            <w:r w:rsidRPr="00A32EC8">
              <w:rPr>
                <w:rFonts w:ascii="Times New Roman" w:eastAsia="Times New Roman" w:hAnsi="Times New Roman" w:cs="Times New Roman"/>
                <w:color w:val="333333"/>
                <w:kern w:val="0"/>
                <w:lang w:eastAsia="sl-SI"/>
                <w14:ligatures w14:val="none"/>
              </w:rPr>
              <w:t xml:space="preserve">1:    </w:t>
            </w:r>
          </w:p>
        </w:tc>
        <w:tc>
          <w:tcPr>
            <w:tcW w:w="7645" w:type="dxa"/>
            <w:tcBorders>
              <w:top w:val="single" w:sz="6" w:space="0" w:color="DEDEDE"/>
              <w:left w:val="nil"/>
              <w:bottom w:val="nil"/>
              <w:right w:val="nil"/>
            </w:tcBorders>
            <w:shd w:val="clear" w:color="auto" w:fill="FFFFFF"/>
            <w:tcMar>
              <w:top w:w="150" w:type="dxa"/>
              <w:left w:w="150" w:type="dxa"/>
              <w:bottom w:w="150" w:type="dxa"/>
              <w:right w:w="150" w:type="dxa"/>
            </w:tcMar>
            <w:hideMark/>
          </w:tcPr>
          <w:p w14:paraId="488DD8F2" w14:textId="77777777" w:rsidR="00A32EC8" w:rsidRPr="00A32EC8" w:rsidRDefault="00A32EC8" w:rsidP="00A32EC8">
            <w:pPr>
              <w:spacing w:after="0" w:line="360" w:lineRule="atLeast"/>
              <w:jc w:val="both"/>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Načrtovani rezultati so usmerjeni v izboljšanje tehnologij v trajnih nasadih z iskanjem učinkovitih rešitev za varstvo rastlin in izboljšanje kakovosti pridelka. Preučujejo alternativne metode obdelave tal in povečanja njihove rodovitnosti ter zmanjševanje vpliva na okolje. Raziskave vključujejo tudi prilagoditev gojitvenih oblik in tehnologij v iskanju večje učinkovitosti na okolju prijazen način. Eden izmed vidikov je uvajanje rešitev, kot so rastlinske mešanice za izboljšanje trofičnih razmer v tleh. Preizkusi razvitega znanja bodo usmerjeni tudi v tehnologije za zmanjševanje posledic podnebnih sprememb.</w:t>
            </w:r>
          </w:p>
        </w:tc>
      </w:tr>
      <w:tr w:rsidR="00A32EC8" w:rsidRPr="00A32EC8" w14:paraId="1319C71A" w14:textId="77777777" w:rsidTr="00A32EC8">
        <w:trPr>
          <w:trHeight w:val="989"/>
        </w:trPr>
        <w:tc>
          <w:tcPr>
            <w:tcW w:w="1560" w:type="dxa"/>
            <w:tcBorders>
              <w:top w:val="single" w:sz="6" w:space="0" w:color="DEDEDE"/>
              <w:left w:val="nil"/>
              <w:bottom w:val="nil"/>
              <w:right w:val="nil"/>
            </w:tcBorders>
            <w:shd w:val="clear" w:color="auto" w:fill="FFFFFF"/>
            <w:tcMar>
              <w:top w:w="150" w:type="dxa"/>
              <w:left w:w="150" w:type="dxa"/>
              <w:bottom w:w="150" w:type="dxa"/>
              <w:right w:w="150" w:type="dxa"/>
            </w:tcMar>
            <w:hideMark/>
          </w:tcPr>
          <w:p w14:paraId="204AE616" w14:textId="14571BA3"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 xml:space="preserve">Rezultat </w:t>
            </w:r>
            <w:r>
              <w:rPr>
                <w:rFonts w:ascii="Times New Roman" w:eastAsia="Times New Roman" w:hAnsi="Times New Roman" w:cs="Times New Roman"/>
                <w:color w:val="333333"/>
                <w:kern w:val="0"/>
                <w:lang w:eastAsia="sl-SI"/>
                <w14:ligatures w14:val="none"/>
              </w:rPr>
              <w:t xml:space="preserve">2: </w:t>
            </w:r>
          </w:p>
        </w:tc>
        <w:tc>
          <w:tcPr>
            <w:tcW w:w="7645" w:type="dxa"/>
            <w:tcBorders>
              <w:top w:val="single" w:sz="6" w:space="0" w:color="DEDEDE"/>
              <w:left w:val="nil"/>
              <w:bottom w:val="nil"/>
              <w:right w:val="nil"/>
            </w:tcBorders>
            <w:shd w:val="clear" w:color="auto" w:fill="FFFFFF"/>
            <w:tcMar>
              <w:top w:w="150" w:type="dxa"/>
              <w:left w:w="150" w:type="dxa"/>
              <w:bottom w:w="150" w:type="dxa"/>
              <w:right w:w="150" w:type="dxa"/>
            </w:tcMar>
            <w:hideMark/>
          </w:tcPr>
          <w:p w14:paraId="74699F86" w14:textId="77777777" w:rsidR="00A32EC8" w:rsidRPr="00A32EC8" w:rsidRDefault="00A32EC8" w:rsidP="00A32EC8">
            <w:pPr>
              <w:spacing w:after="0" w:line="360" w:lineRule="atLeast"/>
              <w:jc w:val="both"/>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S preizkusi razvitega znanja bomo nadgradili oz. oblikovali nov ukrep, ki bo temeljil na izboljšanju kakovosti pridelka.</w:t>
            </w:r>
          </w:p>
        </w:tc>
      </w:tr>
      <w:tr w:rsidR="00A32EC8" w:rsidRPr="00A32EC8" w14:paraId="791D3F7B" w14:textId="77777777" w:rsidTr="00A32EC8">
        <w:trPr>
          <w:trHeight w:val="2474"/>
        </w:trPr>
        <w:tc>
          <w:tcPr>
            <w:tcW w:w="1560" w:type="dxa"/>
            <w:tcBorders>
              <w:top w:val="single" w:sz="6" w:space="0" w:color="DEDEDE"/>
              <w:left w:val="nil"/>
              <w:bottom w:val="nil"/>
              <w:right w:val="nil"/>
            </w:tcBorders>
            <w:shd w:val="clear" w:color="auto" w:fill="FFFFFF"/>
            <w:tcMar>
              <w:top w:w="150" w:type="dxa"/>
              <w:left w:w="150" w:type="dxa"/>
              <w:bottom w:w="150" w:type="dxa"/>
              <w:right w:w="150" w:type="dxa"/>
            </w:tcMar>
            <w:hideMark/>
          </w:tcPr>
          <w:p w14:paraId="5EF7E7D1" w14:textId="77777777"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Rezultat 3:</w:t>
            </w:r>
          </w:p>
        </w:tc>
        <w:tc>
          <w:tcPr>
            <w:tcW w:w="7645" w:type="dxa"/>
            <w:tcBorders>
              <w:top w:val="single" w:sz="6" w:space="0" w:color="DEDEDE"/>
              <w:left w:val="nil"/>
              <w:bottom w:val="nil"/>
              <w:right w:val="nil"/>
            </w:tcBorders>
            <w:shd w:val="clear" w:color="auto" w:fill="FFFFFF"/>
            <w:tcMar>
              <w:top w:w="150" w:type="dxa"/>
              <w:left w:w="150" w:type="dxa"/>
              <w:bottom w:w="150" w:type="dxa"/>
              <w:right w:w="150" w:type="dxa"/>
            </w:tcMar>
            <w:hideMark/>
          </w:tcPr>
          <w:p w14:paraId="67851FAE" w14:textId="77777777" w:rsidR="00A32EC8" w:rsidRPr="00A32EC8" w:rsidRDefault="00A32EC8" w:rsidP="00A32EC8">
            <w:pPr>
              <w:spacing w:after="0" w:line="360" w:lineRule="atLeast"/>
              <w:jc w:val="both"/>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Načrtovani poskusi so usmerjeni v izboljšanje pridelovalnih praks z optimizacijo gostote sajenja, uporabo naprednih načinov varstva rastlin ter uporabo biostimulantov. Oblikovane bodo tehnologije pridelave sadnih rastlin v različnih oblikah zavarovanega prostora z namenom zmanjšanja odvisnosti od neugodnih vremenskih pojavov in zmanjšanja biotskega stresa. Preizkušene bodo različne gojitvene oblike, tolerantne sorte in podlage ter ekološki pristopi pridelave.</w:t>
            </w:r>
          </w:p>
        </w:tc>
      </w:tr>
      <w:tr w:rsidR="00A32EC8" w:rsidRPr="00A32EC8" w14:paraId="550DF232" w14:textId="77777777" w:rsidTr="00A32EC8">
        <w:trPr>
          <w:trHeight w:val="1979"/>
        </w:trPr>
        <w:tc>
          <w:tcPr>
            <w:tcW w:w="1560" w:type="dxa"/>
            <w:tcBorders>
              <w:top w:val="single" w:sz="6" w:space="0" w:color="DEDEDE"/>
              <w:left w:val="nil"/>
              <w:bottom w:val="nil"/>
              <w:right w:val="nil"/>
            </w:tcBorders>
            <w:shd w:val="clear" w:color="auto" w:fill="FFFFFF"/>
            <w:tcMar>
              <w:top w:w="150" w:type="dxa"/>
              <w:left w:w="150" w:type="dxa"/>
              <w:bottom w:w="150" w:type="dxa"/>
              <w:right w:w="150" w:type="dxa"/>
            </w:tcMar>
            <w:hideMark/>
          </w:tcPr>
          <w:p w14:paraId="5195158F" w14:textId="69D926E3" w:rsidR="00A32EC8" w:rsidRPr="00A32EC8" w:rsidRDefault="00A32EC8" w:rsidP="00A32EC8">
            <w:pPr>
              <w:spacing w:after="0" w:line="360" w:lineRule="atLeast"/>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Rezultat 4:</w:t>
            </w:r>
          </w:p>
        </w:tc>
        <w:tc>
          <w:tcPr>
            <w:tcW w:w="7645" w:type="dxa"/>
            <w:tcBorders>
              <w:top w:val="single" w:sz="6" w:space="0" w:color="DEDEDE"/>
              <w:left w:val="nil"/>
              <w:bottom w:val="nil"/>
              <w:right w:val="nil"/>
            </w:tcBorders>
            <w:shd w:val="clear" w:color="auto" w:fill="FFFFFF"/>
            <w:tcMar>
              <w:top w:w="150" w:type="dxa"/>
              <w:left w:w="150" w:type="dxa"/>
              <w:bottom w:w="150" w:type="dxa"/>
              <w:right w:w="150" w:type="dxa"/>
            </w:tcMar>
            <w:hideMark/>
          </w:tcPr>
          <w:p w14:paraId="5F68DDB2" w14:textId="77777777" w:rsidR="00A32EC8" w:rsidRPr="00A32EC8" w:rsidRDefault="00A32EC8" w:rsidP="00A32EC8">
            <w:pPr>
              <w:spacing w:after="0" w:line="360" w:lineRule="atLeast"/>
              <w:jc w:val="both"/>
              <w:rPr>
                <w:rFonts w:ascii="Times New Roman" w:eastAsia="Times New Roman" w:hAnsi="Times New Roman" w:cs="Times New Roman"/>
                <w:color w:val="333333"/>
                <w:kern w:val="0"/>
                <w:lang w:eastAsia="sl-SI"/>
                <w14:ligatures w14:val="none"/>
              </w:rPr>
            </w:pPr>
            <w:r w:rsidRPr="00A32EC8">
              <w:rPr>
                <w:rFonts w:ascii="Times New Roman" w:eastAsia="Times New Roman" w:hAnsi="Times New Roman" w:cs="Times New Roman"/>
                <w:color w:val="333333"/>
                <w:kern w:val="0"/>
                <w:lang w:eastAsia="sl-SI"/>
                <w14:ligatures w14:val="none"/>
              </w:rPr>
              <w:t>Praktično usposabljanje bo ciljno usmerjeno v potrebe sodelujočih demonstracijskih kmetij, kjer bomo naslovili tehnološke izzive, s katerimi se srečujejo pridelovalci. Pri tem bomo imeli v oziru vedno tudi prilagoditev na različne oblike stresa, uvajanje novih digitalnih pristopov ter tehnoloških ukrepov, ki minimalno obremenjujejo okolje.</w:t>
            </w:r>
          </w:p>
        </w:tc>
      </w:tr>
    </w:tbl>
    <w:p w14:paraId="13113DA9" w14:textId="77777777" w:rsidR="00A32EC8" w:rsidRDefault="00A32EC8" w:rsidP="00A32EC8">
      <w:pPr>
        <w:spacing w:after="100" w:afterAutospacing="1"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 </w:t>
      </w:r>
    </w:p>
    <w:p w14:paraId="586E0D71" w14:textId="77777777" w:rsidR="00A32EC8" w:rsidRPr="00A32EC8" w:rsidRDefault="00A32EC8" w:rsidP="00A32EC8">
      <w:pPr>
        <w:spacing w:after="100" w:afterAutospacing="1" w:line="240" w:lineRule="auto"/>
        <w:rPr>
          <w:rFonts w:ascii="Arial" w:eastAsia="Times New Roman" w:hAnsi="Arial" w:cs="Arial"/>
          <w:color w:val="333333"/>
          <w:kern w:val="0"/>
          <w:lang w:eastAsia="sl-SI"/>
          <w14:ligatures w14:val="none"/>
        </w:rPr>
      </w:pPr>
    </w:p>
    <w:p w14:paraId="1777398A" w14:textId="77777777" w:rsidR="00A32EC8" w:rsidRPr="00A32EC8" w:rsidRDefault="00A32EC8" w:rsidP="00A32EC8">
      <w:pPr>
        <w:spacing w:after="150" w:line="240" w:lineRule="auto"/>
        <w:outlineLvl w:val="2"/>
        <w:rPr>
          <w:rFonts w:ascii="Arial" w:eastAsia="Times New Roman" w:hAnsi="Arial" w:cs="Arial"/>
          <w:i/>
          <w:iCs/>
          <w:color w:val="333333"/>
          <w:kern w:val="0"/>
          <w:sz w:val="33"/>
          <w:szCs w:val="33"/>
          <w:lang w:eastAsia="sl-SI"/>
          <w14:ligatures w14:val="none"/>
        </w:rPr>
      </w:pPr>
      <w:r w:rsidRPr="00A32EC8">
        <w:rPr>
          <w:rFonts w:ascii="Arial" w:eastAsia="Times New Roman" w:hAnsi="Arial" w:cs="Arial"/>
          <w:i/>
          <w:iCs/>
          <w:color w:val="333333"/>
          <w:kern w:val="0"/>
          <w:sz w:val="33"/>
          <w:szCs w:val="33"/>
          <w:lang w:eastAsia="sl-SI"/>
          <w14:ligatures w14:val="none"/>
        </w:rPr>
        <w:t>Povezave</w:t>
      </w:r>
    </w:p>
    <w:p w14:paraId="53E71F00" w14:textId="77777777" w:rsidR="00A32EC8" w:rsidRPr="00A32EC8" w:rsidRDefault="00A32EC8" w:rsidP="00A32EC8">
      <w:pPr>
        <w:spacing w:after="100" w:afterAutospacing="1"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 </w:t>
      </w:r>
      <w:bookmarkStart w:id="0" w:name="visually-hidden"/>
      <w:r w:rsidRPr="00A32EC8">
        <w:rPr>
          <w:rFonts w:ascii="Arial" w:eastAsia="Times New Roman" w:hAnsi="Arial" w:cs="Arial"/>
          <w:color w:val="333333"/>
          <w:kern w:val="0"/>
          <w:lang w:eastAsia="sl-SI"/>
          <w14:ligatures w14:val="none"/>
        </w:rPr>
        <w:t>Spletna stran Evropske komisije, namenjena Razvoju podeželja</w:t>
      </w:r>
      <w:bookmarkEnd w:id="0"/>
    </w:p>
    <w:p w14:paraId="649D21DB" w14:textId="77777777" w:rsidR="00A32EC8" w:rsidRPr="00A32EC8" w:rsidRDefault="00A32EC8" w:rsidP="00A32EC8">
      <w:pPr>
        <w:spacing w:after="100" w:afterAutospacing="1"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 </w:t>
      </w:r>
      <w:hyperlink r:id="rId5" w:tgtFrame="_blank" w:history="1">
        <w:r w:rsidRPr="00A32EC8">
          <w:rPr>
            <w:rFonts w:ascii="Arial" w:eastAsia="Times New Roman" w:hAnsi="Arial" w:cs="Arial"/>
            <w:color w:val="333333"/>
            <w:kern w:val="0"/>
            <w:lang w:eastAsia="sl-SI"/>
            <w14:ligatures w14:val="none"/>
          </w:rPr>
          <w:t xml:space="preserve">Zunanja povezava </w:t>
        </w:r>
        <w:proofErr w:type="spellStart"/>
        <w:r w:rsidRPr="00A32EC8">
          <w:rPr>
            <w:rFonts w:ascii="Arial" w:eastAsia="Times New Roman" w:hAnsi="Arial" w:cs="Arial"/>
            <w:color w:val="333333"/>
            <w:kern w:val="0"/>
            <w:lang w:eastAsia="sl-SI"/>
            <w14:ligatures w14:val="none"/>
          </w:rPr>
          <w:t>na</w:t>
        </w:r>
        <w:r w:rsidRPr="00A32EC8">
          <w:rPr>
            <w:rFonts w:ascii="Arial" w:eastAsia="Times New Roman" w:hAnsi="Arial" w:cs="Arial"/>
            <w:color w:val="333333"/>
            <w:kern w:val="0"/>
            <w:u w:val="single"/>
            <w:lang w:eastAsia="sl-SI"/>
            <w14:ligatures w14:val="none"/>
          </w:rPr>
          <w:t>Spletna</w:t>
        </w:r>
        <w:proofErr w:type="spellEnd"/>
        <w:r w:rsidRPr="00A32EC8">
          <w:rPr>
            <w:rFonts w:ascii="Arial" w:eastAsia="Times New Roman" w:hAnsi="Arial" w:cs="Arial"/>
            <w:color w:val="333333"/>
            <w:kern w:val="0"/>
            <w:u w:val="single"/>
            <w:lang w:eastAsia="sl-SI"/>
            <w14:ligatures w14:val="none"/>
          </w:rPr>
          <w:t xml:space="preserve"> stran Skupne kmetijske </w:t>
        </w:r>
        <w:proofErr w:type="spellStart"/>
        <w:r w:rsidRPr="00A32EC8">
          <w:rPr>
            <w:rFonts w:ascii="Arial" w:eastAsia="Times New Roman" w:hAnsi="Arial" w:cs="Arial"/>
            <w:color w:val="333333"/>
            <w:kern w:val="0"/>
            <w:u w:val="single"/>
            <w:lang w:eastAsia="sl-SI"/>
            <w14:ligatures w14:val="none"/>
          </w:rPr>
          <w:t>politike</w:t>
        </w:r>
        <w:r w:rsidRPr="00A32EC8">
          <w:rPr>
            <w:rFonts w:ascii="Arial" w:eastAsia="Times New Roman" w:hAnsi="Arial" w:cs="Arial"/>
            <w:color w:val="333333"/>
            <w:kern w:val="0"/>
            <w:lang w:eastAsia="sl-SI"/>
            <w14:ligatures w14:val="none"/>
          </w:rPr>
          <w:t>Odpira</w:t>
        </w:r>
        <w:proofErr w:type="spellEnd"/>
        <w:r w:rsidRPr="00A32EC8">
          <w:rPr>
            <w:rFonts w:ascii="Arial" w:eastAsia="Times New Roman" w:hAnsi="Arial" w:cs="Arial"/>
            <w:color w:val="333333"/>
            <w:kern w:val="0"/>
            <w:lang w:eastAsia="sl-SI"/>
            <w14:ligatures w14:val="none"/>
          </w:rPr>
          <w:t xml:space="preserve"> se v novem oknu</w:t>
        </w:r>
      </w:hyperlink>
    </w:p>
    <w:p w14:paraId="7B28CD1C" w14:textId="77777777" w:rsidR="00A32EC8" w:rsidRPr="00A32EC8" w:rsidRDefault="00A32EC8" w:rsidP="00A32EC8">
      <w:pPr>
        <w:spacing w:after="100" w:afterAutospacing="1" w:line="240" w:lineRule="auto"/>
        <w:rPr>
          <w:rFonts w:ascii="Arial" w:eastAsia="Times New Roman" w:hAnsi="Arial" w:cs="Arial"/>
          <w:color w:val="333333"/>
          <w:kern w:val="0"/>
          <w:lang w:eastAsia="sl-SI"/>
          <w14:ligatures w14:val="none"/>
        </w:rPr>
      </w:pPr>
      <w:r w:rsidRPr="00A32EC8">
        <w:rPr>
          <w:rFonts w:ascii="Arial" w:eastAsia="Times New Roman" w:hAnsi="Arial" w:cs="Arial"/>
          <w:color w:val="333333"/>
          <w:kern w:val="0"/>
          <w:lang w:eastAsia="sl-SI"/>
          <w14:ligatures w14:val="none"/>
        </w:rPr>
        <w:t>- </w:t>
      </w:r>
      <w:hyperlink r:id="rId6" w:tgtFrame="_blank" w:history="1">
        <w:r w:rsidRPr="00A32EC8">
          <w:rPr>
            <w:rFonts w:ascii="Arial" w:eastAsia="Times New Roman" w:hAnsi="Arial" w:cs="Arial"/>
            <w:color w:val="333333"/>
            <w:kern w:val="0"/>
            <w:lang w:eastAsia="sl-SI"/>
            <w14:ligatures w14:val="none"/>
          </w:rPr>
          <w:t>Zunanja povezava na</w:t>
        </w:r>
        <w:r w:rsidRPr="00A32EC8">
          <w:rPr>
            <w:rFonts w:ascii="Arial" w:eastAsia="Times New Roman" w:hAnsi="Arial" w:cs="Arial"/>
            <w:color w:val="333333"/>
            <w:kern w:val="0"/>
            <w:u w:val="single"/>
            <w:lang w:eastAsia="sl-SI"/>
            <w14:ligatures w14:val="none"/>
          </w:rPr>
          <w:t>https://www.facebook.com/profile.php?id=61577871013316</w:t>
        </w:r>
      </w:hyperlink>
    </w:p>
    <w:sectPr w:rsidR="00A32EC8" w:rsidRPr="00A32E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4E7"/>
    <w:multiLevelType w:val="multilevel"/>
    <w:tmpl w:val="60B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0156E4"/>
    <w:multiLevelType w:val="multilevel"/>
    <w:tmpl w:val="68C0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930B51"/>
    <w:multiLevelType w:val="multilevel"/>
    <w:tmpl w:val="C970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318929">
    <w:abstractNumId w:val="0"/>
  </w:num>
  <w:num w:numId="2" w16cid:durableId="690765830">
    <w:abstractNumId w:val="1"/>
  </w:num>
  <w:num w:numId="3" w16cid:durableId="1737361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BB"/>
    <w:rsid w:val="00086C61"/>
    <w:rsid w:val="0009253C"/>
    <w:rsid w:val="00160AFA"/>
    <w:rsid w:val="00214923"/>
    <w:rsid w:val="004B52DF"/>
    <w:rsid w:val="0089510D"/>
    <w:rsid w:val="009B7F1D"/>
    <w:rsid w:val="00A32EC8"/>
    <w:rsid w:val="00D73B88"/>
    <w:rsid w:val="00D81E89"/>
    <w:rsid w:val="00DA30A5"/>
    <w:rsid w:val="00E576BB"/>
    <w:rsid w:val="00F73B23"/>
    <w:rsid w:val="00FC6D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982F"/>
  <w15:chartTrackingRefBased/>
  <w15:docId w15:val="{4A694D74-B6BF-4767-B59C-B77464D8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6BB"/>
    <w:rPr>
      <w:rFonts w:eastAsiaTheme="majorEastAsia" w:cstheme="majorBidi"/>
      <w:color w:val="272727" w:themeColor="text1" w:themeTint="D8"/>
    </w:rPr>
  </w:style>
  <w:style w:type="paragraph" w:styleId="Title">
    <w:name w:val="Title"/>
    <w:basedOn w:val="Normal"/>
    <w:next w:val="Normal"/>
    <w:link w:val="TitleChar"/>
    <w:uiPriority w:val="10"/>
    <w:qFormat/>
    <w:rsid w:val="00E57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6BB"/>
    <w:pPr>
      <w:spacing w:before="160"/>
      <w:jc w:val="center"/>
    </w:pPr>
    <w:rPr>
      <w:i/>
      <w:iCs/>
      <w:color w:val="404040" w:themeColor="text1" w:themeTint="BF"/>
    </w:rPr>
  </w:style>
  <w:style w:type="character" w:customStyle="1" w:styleId="QuoteChar">
    <w:name w:val="Quote Char"/>
    <w:basedOn w:val="DefaultParagraphFont"/>
    <w:link w:val="Quote"/>
    <w:uiPriority w:val="29"/>
    <w:rsid w:val="00E576BB"/>
    <w:rPr>
      <w:i/>
      <w:iCs/>
      <w:color w:val="404040" w:themeColor="text1" w:themeTint="BF"/>
    </w:rPr>
  </w:style>
  <w:style w:type="paragraph" w:styleId="ListParagraph">
    <w:name w:val="List Paragraph"/>
    <w:basedOn w:val="Normal"/>
    <w:uiPriority w:val="34"/>
    <w:qFormat/>
    <w:rsid w:val="00E576BB"/>
    <w:pPr>
      <w:ind w:left="720"/>
      <w:contextualSpacing/>
    </w:pPr>
  </w:style>
  <w:style w:type="character" w:styleId="IntenseEmphasis">
    <w:name w:val="Intense Emphasis"/>
    <w:basedOn w:val="DefaultParagraphFont"/>
    <w:uiPriority w:val="21"/>
    <w:qFormat/>
    <w:rsid w:val="00E576BB"/>
    <w:rPr>
      <w:i/>
      <w:iCs/>
      <w:color w:val="0F4761" w:themeColor="accent1" w:themeShade="BF"/>
    </w:rPr>
  </w:style>
  <w:style w:type="paragraph" w:styleId="IntenseQuote">
    <w:name w:val="Intense Quote"/>
    <w:basedOn w:val="Normal"/>
    <w:next w:val="Normal"/>
    <w:link w:val="IntenseQuoteChar"/>
    <w:uiPriority w:val="30"/>
    <w:qFormat/>
    <w:rsid w:val="00E57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6BB"/>
    <w:rPr>
      <w:i/>
      <w:iCs/>
      <w:color w:val="0F4761" w:themeColor="accent1" w:themeShade="BF"/>
    </w:rPr>
  </w:style>
  <w:style w:type="character" w:styleId="IntenseReference">
    <w:name w:val="Intense Reference"/>
    <w:basedOn w:val="DefaultParagraphFont"/>
    <w:uiPriority w:val="32"/>
    <w:qFormat/>
    <w:rsid w:val="00E576BB"/>
    <w:rPr>
      <w:b/>
      <w:bCs/>
      <w:smallCaps/>
      <w:color w:val="0F4761" w:themeColor="accent1" w:themeShade="BF"/>
      <w:spacing w:val="5"/>
    </w:rPr>
  </w:style>
  <w:style w:type="table" w:styleId="TableGrid">
    <w:name w:val="Table Grid"/>
    <w:basedOn w:val="TableNormal"/>
    <w:uiPriority w:val="59"/>
    <w:rsid w:val="00214923"/>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rofile.php?id=61577871013316" TargetMode="External"/><Relationship Id="rId5" Type="http://schemas.openxmlformats.org/officeDocument/2006/relationships/hyperlink" Target="https://skp.si/skupna-kmetijska-politika-2023-20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Tilen Zamljen</dc:creator>
  <cp:keywords/>
  <dc:description/>
  <cp:lastModifiedBy>Tilen Zamljen</cp:lastModifiedBy>
  <cp:revision>2</cp:revision>
  <dcterms:created xsi:type="dcterms:W3CDTF">2025-08-13T04:26:00Z</dcterms:created>
  <dcterms:modified xsi:type="dcterms:W3CDTF">2025-08-13T04:26:00Z</dcterms:modified>
</cp:coreProperties>
</file>